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43" w:rsidRPr="007A2443" w:rsidRDefault="007A2443" w:rsidP="007A2443">
      <w:pPr>
        <w:pStyle w:val="Default"/>
        <w:rPr>
          <w:rFonts w:ascii="Arial" w:hAnsi="Arial" w:cs="Arial"/>
          <w:sz w:val="22"/>
          <w:szCs w:val="22"/>
        </w:rPr>
      </w:pPr>
    </w:p>
    <w:p w:rsidR="007A2443" w:rsidRPr="007A2443" w:rsidRDefault="00E824D3" w:rsidP="007A2443">
      <w:pPr>
        <w:pStyle w:val="Default"/>
        <w:rPr>
          <w:rFonts w:ascii="Arial" w:hAnsi="Arial" w:cs="Arial"/>
          <w:b/>
          <w:bCs/>
          <w:color w:val="auto"/>
          <w:sz w:val="32"/>
          <w:szCs w:val="22"/>
        </w:rPr>
      </w:pPr>
      <w:r>
        <w:rPr>
          <w:rFonts w:ascii="Arial" w:hAnsi="Arial" w:cs="Arial"/>
          <w:b/>
          <w:bCs/>
          <w:color w:val="auto"/>
          <w:sz w:val="32"/>
          <w:szCs w:val="22"/>
        </w:rPr>
        <w:t xml:space="preserve">CLINICAL </w:t>
      </w:r>
      <w:r w:rsidR="007A2443" w:rsidRPr="007A2443">
        <w:rPr>
          <w:rFonts w:ascii="Arial" w:hAnsi="Arial" w:cs="Arial"/>
          <w:b/>
          <w:bCs/>
          <w:color w:val="auto"/>
          <w:sz w:val="32"/>
          <w:szCs w:val="22"/>
        </w:rPr>
        <w:t>GOVERN</w:t>
      </w:r>
      <w:bookmarkStart w:id="0" w:name="_GoBack"/>
      <w:bookmarkEnd w:id="0"/>
      <w:r w:rsidR="007A2443" w:rsidRPr="007A2443">
        <w:rPr>
          <w:rFonts w:ascii="Arial" w:hAnsi="Arial" w:cs="Arial"/>
          <w:b/>
          <w:bCs/>
          <w:color w:val="auto"/>
          <w:sz w:val="32"/>
          <w:szCs w:val="22"/>
        </w:rPr>
        <w:t xml:space="preserve">ANCE POLICY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Clinical governance is defined as: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A framework through which NHS org</w:t>
      </w:r>
      <w:r>
        <w:rPr>
          <w:rFonts w:ascii="Arial" w:hAnsi="Arial" w:cs="Arial"/>
          <w:color w:val="auto"/>
          <w:sz w:val="22"/>
          <w:szCs w:val="22"/>
        </w:rPr>
        <w:t xml:space="preserve">anisations are accountable for </w:t>
      </w:r>
      <w:r w:rsidRPr="007A2443">
        <w:rPr>
          <w:rFonts w:ascii="Arial" w:hAnsi="Arial" w:cs="Arial"/>
          <w:color w:val="auto"/>
          <w:sz w:val="22"/>
          <w:szCs w:val="22"/>
        </w:rPr>
        <w:t xml:space="preserve">continually improving the quality of their services and safeguarding high standards of care by creating an environment in which excellence in </w:t>
      </w:r>
    </w:p>
    <w:p w:rsidR="007A2443" w:rsidRPr="007A2443" w:rsidRDefault="007A2443" w:rsidP="007A2443">
      <w:pPr>
        <w:pStyle w:val="Default"/>
        <w:rPr>
          <w:rFonts w:ascii="Arial" w:hAnsi="Arial" w:cs="Arial"/>
          <w:color w:val="auto"/>
          <w:sz w:val="22"/>
          <w:szCs w:val="22"/>
        </w:rPr>
      </w:pPr>
      <w:proofErr w:type="gramStart"/>
      <w:r w:rsidRPr="007A2443">
        <w:rPr>
          <w:rFonts w:ascii="Arial" w:hAnsi="Arial" w:cs="Arial"/>
          <w:color w:val="auto"/>
          <w:sz w:val="22"/>
          <w:szCs w:val="22"/>
        </w:rPr>
        <w:t>clinical</w:t>
      </w:r>
      <w:proofErr w:type="gramEnd"/>
      <w:r w:rsidRPr="007A2443">
        <w:rPr>
          <w:rFonts w:ascii="Arial" w:hAnsi="Arial" w:cs="Arial"/>
          <w:color w:val="auto"/>
          <w:sz w:val="22"/>
          <w:szCs w:val="22"/>
        </w:rPr>
        <w:t xml:space="preserve"> care will flourish. </w:t>
      </w:r>
    </w:p>
    <w:p w:rsid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There are three key attributes to clinical governance: </w:t>
      </w:r>
    </w:p>
    <w:p w:rsidR="007A2443" w:rsidRPr="007A2443" w:rsidRDefault="007A2443" w:rsidP="007A2443">
      <w:pPr>
        <w:pStyle w:val="Default"/>
        <w:numPr>
          <w:ilvl w:val="0"/>
          <w:numId w:val="3"/>
        </w:numPr>
        <w:spacing w:after="68"/>
        <w:rPr>
          <w:rFonts w:ascii="Arial" w:hAnsi="Arial" w:cs="Arial"/>
          <w:color w:val="auto"/>
          <w:sz w:val="22"/>
          <w:szCs w:val="22"/>
        </w:rPr>
      </w:pPr>
      <w:r w:rsidRPr="007A2443">
        <w:rPr>
          <w:rFonts w:ascii="Arial" w:hAnsi="Arial" w:cs="Arial"/>
          <w:color w:val="auto"/>
          <w:sz w:val="22"/>
          <w:szCs w:val="22"/>
        </w:rPr>
        <w:t xml:space="preserve">Recognisably high standards of care </w:t>
      </w:r>
    </w:p>
    <w:p w:rsidR="007A2443" w:rsidRPr="007A2443" w:rsidRDefault="007A2443" w:rsidP="007A2443">
      <w:pPr>
        <w:pStyle w:val="Default"/>
        <w:numPr>
          <w:ilvl w:val="0"/>
          <w:numId w:val="3"/>
        </w:numPr>
        <w:spacing w:after="68"/>
        <w:rPr>
          <w:rFonts w:ascii="Arial" w:hAnsi="Arial" w:cs="Arial"/>
          <w:color w:val="auto"/>
          <w:sz w:val="22"/>
          <w:szCs w:val="22"/>
        </w:rPr>
      </w:pPr>
      <w:r w:rsidRPr="007A2443">
        <w:rPr>
          <w:rFonts w:ascii="Arial" w:hAnsi="Arial" w:cs="Arial"/>
          <w:color w:val="auto"/>
          <w:sz w:val="22"/>
          <w:szCs w:val="22"/>
        </w:rPr>
        <w:t xml:space="preserve">Transparent responsibility and accountability for those standards </w:t>
      </w:r>
    </w:p>
    <w:p w:rsidR="007A2443" w:rsidRPr="007A2443" w:rsidRDefault="007A2443" w:rsidP="007A2443">
      <w:pPr>
        <w:pStyle w:val="Default"/>
        <w:numPr>
          <w:ilvl w:val="0"/>
          <w:numId w:val="3"/>
        </w:numPr>
        <w:rPr>
          <w:rFonts w:ascii="Arial" w:hAnsi="Arial" w:cs="Arial"/>
          <w:color w:val="auto"/>
          <w:sz w:val="22"/>
          <w:szCs w:val="22"/>
        </w:rPr>
      </w:pPr>
      <w:r w:rsidRPr="007A2443">
        <w:rPr>
          <w:rFonts w:ascii="Arial" w:hAnsi="Arial" w:cs="Arial"/>
          <w:color w:val="auto"/>
          <w:sz w:val="22"/>
          <w:szCs w:val="22"/>
        </w:rPr>
        <w:t xml:space="preserve">An ethos of continuous improvement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Clinical governance refers to the structures, processes and systems in place in an organisation to manage the quality of service provision. This framework needs to be appropriate to each organisation, and this policy se</w:t>
      </w:r>
      <w:r>
        <w:rPr>
          <w:rFonts w:ascii="Arial" w:hAnsi="Arial" w:cs="Arial"/>
          <w:color w:val="auto"/>
          <w:sz w:val="22"/>
          <w:szCs w:val="22"/>
        </w:rPr>
        <w:t xml:space="preserve">ts out the </w:t>
      </w:r>
      <w:r w:rsidR="00F23F89">
        <w:rPr>
          <w:rFonts w:ascii="Arial" w:hAnsi="Arial" w:cs="Arial"/>
          <w:color w:val="auto"/>
          <w:sz w:val="22"/>
          <w:szCs w:val="22"/>
        </w:rPr>
        <w:t>TLS</w:t>
      </w:r>
      <w:r w:rsidRPr="007A2443">
        <w:rPr>
          <w:rFonts w:ascii="Arial" w:hAnsi="Arial" w:cs="Arial"/>
          <w:color w:val="auto"/>
          <w:sz w:val="22"/>
          <w:szCs w:val="22"/>
        </w:rPr>
        <w:t xml:space="preserve"> approach. </w:t>
      </w: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There are eight key elements to clinical governance. These are outlined below, along with the mechanisms in use in the Practice to deliver each of the elements, and the expectations that are placed on partners and staff at the Practice. </w:t>
      </w:r>
    </w:p>
    <w:p w:rsidR="007A2443" w:rsidRDefault="007A2443" w:rsidP="007A2443">
      <w:pPr>
        <w:pStyle w:val="Default"/>
        <w:rPr>
          <w:rFonts w:ascii="Arial" w:hAnsi="Arial" w:cs="Arial"/>
          <w:b/>
          <w:bCs/>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1. Education and training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It is the professional duty of all clinical staff to keep their knowledge and skills up to date, and they must therefore engage in regular continuing professional development (CPD). For GPs, this is managed through the General Medical Council registration and revalidation process and through annual professional appraisals. For nurses it is managed through the Nursing &amp; Midwifery Council and annual internal appraisals. In addition, all partners and employees are bound by the Practice Mandatory Training Policy and schedule. All clinicians are expected to document their learning for their individual learning portfolios. </w:t>
      </w:r>
    </w:p>
    <w:p w:rsid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Practice supports the ongoing development of GPs and nurses, both financially and by allowing time out of the surgery for CPD. For GPs, an annual allocation of study days and a contribution towards fees is set out in the contract of employment. </w:t>
      </w:r>
    </w:p>
    <w:p w:rsid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Following any external CPD paid for by the Practice, GPs and nurses are expected to share their learning with colleagues, either formally in clinical or nurse team meetings, or through informal means. It is the responsibility of each clinician to ensure that any urgent updates are brought to the attention of all colleagues to whom the information is relevant as soon as possible after the learning event. </w:t>
      </w:r>
    </w:p>
    <w:p w:rsid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Partners are committed to passing on knowledge and skills within the Practice. GPs have a responsibility to support the nursing team through formal teaching sessions as well as through ad hoc advice. The Practice will arrange a clinical meeting once a month, one of the functions of which is to allow clinicians with specialist knowledge to pass on updates to the rest of the clinical team. </w:t>
      </w:r>
    </w:p>
    <w:p w:rsid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Practice approach to training for all staff is set out in the Training Policy. It is recognised that non-clinical staff also need to update their skills regularly in order to support the delivery of high quality medical services.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2. Clinical audit </w:t>
      </w:r>
    </w:p>
    <w:p w:rsidR="007A2443" w:rsidRP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Clinical audit is the review of clinical performance and the refinement of clinical practice as a result. Within the Practice, this may refer to: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numPr>
          <w:ilvl w:val="0"/>
          <w:numId w:val="4"/>
        </w:numPr>
        <w:spacing w:after="73"/>
        <w:rPr>
          <w:rFonts w:ascii="Arial" w:hAnsi="Arial" w:cs="Arial"/>
          <w:color w:val="auto"/>
          <w:sz w:val="22"/>
          <w:szCs w:val="22"/>
        </w:rPr>
      </w:pPr>
      <w:r w:rsidRPr="007A2443">
        <w:rPr>
          <w:rFonts w:ascii="Arial" w:hAnsi="Arial" w:cs="Arial"/>
          <w:color w:val="auto"/>
          <w:sz w:val="22"/>
          <w:szCs w:val="22"/>
        </w:rPr>
        <w:t>the application of the results of formal national or local (</w:t>
      </w:r>
      <w:proofErr w:type="spellStart"/>
      <w:r w:rsidRPr="007A2443">
        <w:rPr>
          <w:rFonts w:ascii="Arial" w:hAnsi="Arial" w:cs="Arial"/>
          <w:color w:val="auto"/>
          <w:sz w:val="22"/>
          <w:szCs w:val="22"/>
        </w:rPr>
        <w:t>eg</w:t>
      </w:r>
      <w:proofErr w:type="spellEnd"/>
      <w:r w:rsidRPr="007A2443">
        <w:rPr>
          <w:rFonts w:ascii="Arial" w:hAnsi="Arial" w:cs="Arial"/>
          <w:color w:val="auto"/>
          <w:sz w:val="22"/>
          <w:szCs w:val="22"/>
        </w:rPr>
        <w:t xml:space="preserve"> CCG) audits to our patient population and the identification of areas for improvement </w:t>
      </w:r>
    </w:p>
    <w:p w:rsidR="007A2443" w:rsidRPr="007A2443" w:rsidRDefault="007A2443" w:rsidP="007A2443">
      <w:pPr>
        <w:pStyle w:val="Default"/>
        <w:numPr>
          <w:ilvl w:val="0"/>
          <w:numId w:val="4"/>
        </w:numPr>
        <w:spacing w:after="73"/>
        <w:rPr>
          <w:rFonts w:ascii="Arial" w:hAnsi="Arial" w:cs="Arial"/>
          <w:color w:val="auto"/>
          <w:sz w:val="22"/>
          <w:szCs w:val="22"/>
        </w:rPr>
      </w:pPr>
      <w:r w:rsidRPr="007A2443">
        <w:rPr>
          <w:rFonts w:ascii="Arial" w:hAnsi="Arial" w:cs="Arial"/>
          <w:color w:val="auto"/>
          <w:sz w:val="22"/>
          <w:szCs w:val="22"/>
        </w:rPr>
        <w:t xml:space="preserve">audits carried out in the Practice by our clinicians or by external experts, </w:t>
      </w:r>
      <w:proofErr w:type="spellStart"/>
      <w:r w:rsidRPr="007A2443">
        <w:rPr>
          <w:rFonts w:ascii="Arial" w:hAnsi="Arial" w:cs="Arial"/>
          <w:color w:val="auto"/>
          <w:sz w:val="22"/>
          <w:szCs w:val="22"/>
        </w:rPr>
        <w:t>eg</w:t>
      </w:r>
      <w:proofErr w:type="spellEnd"/>
      <w:r w:rsidRPr="007A2443">
        <w:rPr>
          <w:rFonts w:ascii="Arial" w:hAnsi="Arial" w:cs="Arial"/>
          <w:color w:val="auto"/>
          <w:sz w:val="22"/>
          <w:szCs w:val="22"/>
        </w:rPr>
        <w:t xml:space="preserve"> CCG pharmacist, specialists provided by drug companies, which result in improvements in practice </w:t>
      </w:r>
    </w:p>
    <w:p w:rsidR="007A2443" w:rsidRPr="007A2443" w:rsidRDefault="007A2443" w:rsidP="007A2443">
      <w:pPr>
        <w:pStyle w:val="Default"/>
        <w:numPr>
          <w:ilvl w:val="0"/>
          <w:numId w:val="4"/>
        </w:numPr>
        <w:rPr>
          <w:rFonts w:ascii="Arial" w:hAnsi="Arial" w:cs="Arial"/>
          <w:color w:val="auto"/>
          <w:sz w:val="22"/>
          <w:szCs w:val="22"/>
        </w:rPr>
      </w:pPr>
      <w:r w:rsidRPr="007A2443">
        <w:rPr>
          <w:rFonts w:ascii="Arial" w:hAnsi="Arial" w:cs="Arial"/>
          <w:color w:val="auto"/>
          <w:sz w:val="22"/>
          <w:szCs w:val="22"/>
        </w:rPr>
        <w:lastRenderedPageBreak/>
        <w:t xml:space="preserve">the use of case studies to highlight specific issues that are then generalised within our patient population </w:t>
      </w:r>
    </w:p>
    <w:p w:rsidR="007A2443" w:rsidRP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monthly clinical meeting provides a forum for the dissemination of the results of audits and the exchange of opinions about how the results can be used to improve clinical practice. These meetings will be held on different days of the week and will be attended by all GPs and members of the nursing team who are able to be rostered to attend. Those clinicians not rostered to attend may choose to do so in their own time but in any case it is the responsibility of the clinician presenting a topic to ensure that all colleagues who are not present are made aware of the outcome. When appropriate, the meetings will be attended by the Practice Manager or other senior administrative staff to aid the process of dissemination and to ensure that any administrative changes needed to support improvement proposals are carried through. </w:t>
      </w:r>
    </w:p>
    <w:p w:rsid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range of topics covered in local audits should meet one of the following key criteria: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numPr>
          <w:ilvl w:val="0"/>
          <w:numId w:val="5"/>
        </w:numPr>
        <w:spacing w:after="72"/>
        <w:rPr>
          <w:rFonts w:ascii="Arial" w:hAnsi="Arial" w:cs="Arial"/>
          <w:color w:val="auto"/>
          <w:sz w:val="22"/>
          <w:szCs w:val="22"/>
        </w:rPr>
      </w:pPr>
      <w:r w:rsidRPr="007A2443">
        <w:rPr>
          <w:rFonts w:ascii="Arial" w:hAnsi="Arial" w:cs="Arial"/>
          <w:color w:val="auto"/>
          <w:sz w:val="22"/>
          <w:szCs w:val="22"/>
        </w:rPr>
        <w:t>Respond to an identified area where the Practice is an ou</w:t>
      </w:r>
      <w:r>
        <w:rPr>
          <w:rFonts w:ascii="Arial" w:hAnsi="Arial" w:cs="Arial"/>
          <w:color w:val="auto"/>
          <w:sz w:val="22"/>
          <w:szCs w:val="22"/>
        </w:rPr>
        <w:t xml:space="preserve">tlier compared with other local </w:t>
      </w:r>
      <w:r w:rsidRPr="007A2443">
        <w:rPr>
          <w:rFonts w:ascii="Arial" w:hAnsi="Arial" w:cs="Arial"/>
          <w:color w:val="auto"/>
          <w:sz w:val="22"/>
          <w:szCs w:val="22"/>
        </w:rPr>
        <w:t xml:space="preserve">practices </w:t>
      </w:r>
    </w:p>
    <w:p w:rsidR="007A2443" w:rsidRPr="007A2443" w:rsidRDefault="007A2443" w:rsidP="007A2443">
      <w:pPr>
        <w:pStyle w:val="Default"/>
        <w:numPr>
          <w:ilvl w:val="0"/>
          <w:numId w:val="5"/>
        </w:numPr>
        <w:spacing w:after="72"/>
        <w:rPr>
          <w:rFonts w:ascii="Arial" w:hAnsi="Arial" w:cs="Arial"/>
          <w:color w:val="auto"/>
          <w:sz w:val="22"/>
          <w:szCs w:val="22"/>
        </w:rPr>
      </w:pPr>
      <w:r w:rsidRPr="007A2443">
        <w:rPr>
          <w:rFonts w:ascii="Arial" w:hAnsi="Arial" w:cs="Arial"/>
          <w:color w:val="auto"/>
          <w:sz w:val="22"/>
          <w:szCs w:val="22"/>
        </w:rPr>
        <w:t xml:space="preserve">Respond to newly published local pathways </w:t>
      </w:r>
    </w:p>
    <w:p w:rsidR="007A2443" w:rsidRPr="007A2443" w:rsidRDefault="007A2443" w:rsidP="007A2443">
      <w:pPr>
        <w:pStyle w:val="Default"/>
        <w:numPr>
          <w:ilvl w:val="0"/>
          <w:numId w:val="5"/>
        </w:numPr>
        <w:spacing w:after="72"/>
        <w:rPr>
          <w:rFonts w:ascii="Arial" w:hAnsi="Arial" w:cs="Arial"/>
          <w:color w:val="auto"/>
          <w:sz w:val="22"/>
          <w:szCs w:val="22"/>
        </w:rPr>
      </w:pPr>
      <w:r w:rsidRPr="007A2443">
        <w:rPr>
          <w:rFonts w:ascii="Arial" w:hAnsi="Arial" w:cs="Arial"/>
          <w:color w:val="auto"/>
          <w:sz w:val="22"/>
          <w:szCs w:val="22"/>
        </w:rPr>
        <w:t xml:space="preserve">Respond to newly published national evidence </w:t>
      </w:r>
    </w:p>
    <w:p w:rsidR="007A2443" w:rsidRPr="007A2443" w:rsidRDefault="007A2443" w:rsidP="007A2443">
      <w:pPr>
        <w:pStyle w:val="Default"/>
        <w:numPr>
          <w:ilvl w:val="0"/>
          <w:numId w:val="5"/>
        </w:numPr>
        <w:spacing w:after="72"/>
        <w:rPr>
          <w:rFonts w:ascii="Arial" w:hAnsi="Arial" w:cs="Arial"/>
          <w:color w:val="auto"/>
          <w:sz w:val="22"/>
          <w:szCs w:val="22"/>
        </w:rPr>
      </w:pPr>
      <w:r w:rsidRPr="007A2443">
        <w:rPr>
          <w:rFonts w:ascii="Arial" w:hAnsi="Arial" w:cs="Arial"/>
          <w:color w:val="auto"/>
          <w:sz w:val="22"/>
          <w:szCs w:val="22"/>
        </w:rPr>
        <w:t xml:space="preserve">Respond to newly available drug or other therapy (if recommended by the CCG) </w:t>
      </w:r>
    </w:p>
    <w:p w:rsidR="007A2443" w:rsidRPr="007A2443" w:rsidRDefault="007A2443" w:rsidP="007A2443">
      <w:pPr>
        <w:pStyle w:val="Default"/>
        <w:numPr>
          <w:ilvl w:val="0"/>
          <w:numId w:val="5"/>
        </w:numPr>
        <w:spacing w:after="72"/>
        <w:rPr>
          <w:rFonts w:ascii="Arial" w:hAnsi="Arial" w:cs="Arial"/>
          <w:color w:val="auto"/>
          <w:sz w:val="22"/>
          <w:szCs w:val="22"/>
        </w:rPr>
      </w:pPr>
      <w:r w:rsidRPr="007A2443">
        <w:rPr>
          <w:rFonts w:ascii="Arial" w:hAnsi="Arial" w:cs="Arial"/>
          <w:color w:val="auto"/>
          <w:sz w:val="22"/>
          <w:szCs w:val="22"/>
        </w:rPr>
        <w:t xml:space="preserve">Respond to a clinical significant event or substantiated complaint </w:t>
      </w:r>
    </w:p>
    <w:p w:rsidR="007A2443" w:rsidRPr="007A2443" w:rsidRDefault="007A2443" w:rsidP="007A2443">
      <w:pPr>
        <w:pStyle w:val="Default"/>
        <w:numPr>
          <w:ilvl w:val="0"/>
          <w:numId w:val="5"/>
        </w:numPr>
        <w:spacing w:after="72"/>
        <w:rPr>
          <w:rFonts w:ascii="Arial" w:hAnsi="Arial" w:cs="Arial"/>
          <w:color w:val="auto"/>
          <w:sz w:val="22"/>
          <w:szCs w:val="22"/>
        </w:rPr>
      </w:pPr>
      <w:r w:rsidRPr="007A2443">
        <w:rPr>
          <w:rFonts w:ascii="Arial" w:hAnsi="Arial" w:cs="Arial"/>
          <w:color w:val="auto"/>
          <w:sz w:val="22"/>
          <w:szCs w:val="22"/>
        </w:rPr>
        <w:t>Provide a balance across a range of specialties (</w:t>
      </w:r>
      <w:proofErr w:type="spellStart"/>
      <w:r w:rsidRPr="007A2443">
        <w:rPr>
          <w:rFonts w:ascii="Arial" w:hAnsi="Arial" w:cs="Arial"/>
          <w:color w:val="auto"/>
          <w:sz w:val="22"/>
          <w:szCs w:val="22"/>
        </w:rPr>
        <w:t>ie</w:t>
      </w:r>
      <w:proofErr w:type="spellEnd"/>
      <w:r w:rsidRPr="007A2443">
        <w:rPr>
          <w:rFonts w:ascii="Arial" w:hAnsi="Arial" w:cs="Arial"/>
          <w:color w:val="auto"/>
          <w:sz w:val="22"/>
          <w:szCs w:val="22"/>
        </w:rPr>
        <w:t xml:space="preserve"> clinicians should not all focus on a narrow range of conditions) </w:t>
      </w:r>
    </w:p>
    <w:p w:rsidR="007A2443" w:rsidRPr="007A2443" w:rsidRDefault="007A2443" w:rsidP="007A2443">
      <w:pPr>
        <w:pStyle w:val="Default"/>
        <w:numPr>
          <w:ilvl w:val="0"/>
          <w:numId w:val="5"/>
        </w:numPr>
        <w:rPr>
          <w:rFonts w:ascii="Arial" w:hAnsi="Arial" w:cs="Arial"/>
          <w:color w:val="auto"/>
          <w:sz w:val="22"/>
          <w:szCs w:val="22"/>
        </w:rPr>
      </w:pPr>
      <w:r w:rsidRPr="007A2443">
        <w:rPr>
          <w:rFonts w:ascii="Arial" w:hAnsi="Arial" w:cs="Arial"/>
          <w:color w:val="auto"/>
          <w:sz w:val="22"/>
          <w:szCs w:val="22"/>
        </w:rPr>
        <w:t xml:space="preserve">Provide a general update in an area of the clinician’s own expertise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One partner is designated to manage the agenda for clinical meetings, to ensure that the topics selected meet the criteria and provide a balance over a year. It is his/her responsibility to arrange for a clinical evaluation to be presented on any topic that is causing particular concern either locally or more widely. </w:t>
      </w:r>
    </w:p>
    <w:p w:rsid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b/>
          <w:bCs/>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3. Clinical effectiveness </w:t>
      </w:r>
    </w:p>
    <w:p w:rsidR="007A2443" w:rsidRP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Clinical effectiveness is about providing the best evidence-based care for the patient while making good use of available clinical resources. Clinicians in the Practice are expected to work within formularies, protocols and pathways where these have been developed for specific conditions. This will ensure that: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numPr>
          <w:ilvl w:val="0"/>
          <w:numId w:val="6"/>
        </w:numPr>
        <w:spacing w:after="72"/>
        <w:rPr>
          <w:rFonts w:ascii="Arial" w:hAnsi="Arial" w:cs="Arial"/>
          <w:color w:val="auto"/>
          <w:sz w:val="22"/>
          <w:szCs w:val="22"/>
        </w:rPr>
      </w:pPr>
      <w:r w:rsidRPr="007A2443">
        <w:rPr>
          <w:rFonts w:ascii="Arial" w:hAnsi="Arial" w:cs="Arial"/>
          <w:color w:val="auto"/>
          <w:sz w:val="22"/>
          <w:szCs w:val="22"/>
        </w:rPr>
        <w:t xml:space="preserve">patient care is guided by the best available evidence of the effectiveness of particular treatments or drugs </w:t>
      </w:r>
    </w:p>
    <w:p w:rsidR="007A2443" w:rsidRPr="007A2443" w:rsidRDefault="007A2443" w:rsidP="007A2443">
      <w:pPr>
        <w:pStyle w:val="Default"/>
        <w:numPr>
          <w:ilvl w:val="0"/>
          <w:numId w:val="6"/>
        </w:numPr>
        <w:rPr>
          <w:rFonts w:ascii="Arial" w:hAnsi="Arial" w:cs="Arial"/>
          <w:color w:val="auto"/>
          <w:sz w:val="22"/>
          <w:szCs w:val="22"/>
        </w:rPr>
      </w:pPr>
      <w:r w:rsidRPr="007A2443">
        <w:rPr>
          <w:rFonts w:ascii="Arial" w:hAnsi="Arial" w:cs="Arial"/>
          <w:color w:val="auto"/>
          <w:sz w:val="22"/>
          <w:szCs w:val="22"/>
        </w:rPr>
        <w:t xml:space="preserve">local agreements between the CCG and secondary/community care providers are followed in order to streamline the patient experience and the cost to the NHS </w:t>
      </w:r>
    </w:p>
    <w:p w:rsidR="007A2443" w:rsidRP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In addition, clinicians are expected to read journals and/or websites regularly to maintain current awareness of best practice. This should include regular scanning of NICE and other national guidelines for changes in recommended practice.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4. Research and development </w:t>
      </w:r>
    </w:p>
    <w:p w:rsidR="007A2443" w:rsidRPr="007A2443" w:rsidRDefault="007A2443" w:rsidP="007A2443">
      <w:pPr>
        <w:pStyle w:val="Default"/>
        <w:rPr>
          <w:rFonts w:ascii="Arial" w:hAnsi="Arial" w:cs="Arial"/>
          <w:color w:val="auto"/>
          <w:sz w:val="22"/>
          <w:szCs w:val="22"/>
        </w:rPr>
      </w:pPr>
    </w:p>
    <w:p w:rsidR="007A2443" w:rsidRPr="007A2443" w:rsidRDefault="00F23F89" w:rsidP="007A2443">
      <w:pPr>
        <w:pStyle w:val="Default"/>
        <w:rPr>
          <w:rFonts w:ascii="Arial" w:hAnsi="Arial" w:cs="Arial"/>
          <w:color w:val="auto"/>
          <w:sz w:val="22"/>
          <w:szCs w:val="22"/>
        </w:rPr>
      </w:pPr>
      <w:r>
        <w:rPr>
          <w:rFonts w:ascii="Arial" w:hAnsi="Arial" w:cs="Arial"/>
          <w:color w:val="auto"/>
          <w:sz w:val="22"/>
          <w:szCs w:val="22"/>
        </w:rPr>
        <w:t>TLS</w:t>
      </w:r>
      <w:r w:rsidR="007A2443" w:rsidRPr="007A2443">
        <w:rPr>
          <w:rFonts w:ascii="Arial" w:hAnsi="Arial" w:cs="Arial"/>
          <w:color w:val="auto"/>
          <w:sz w:val="22"/>
          <w:szCs w:val="22"/>
        </w:rPr>
        <w:t xml:space="preserve"> is </w:t>
      </w:r>
      <w:r w:rsidR="007A2443">
        <w:rPr>
          <w:rFonts w:ascii="Arial" w:hAnsi="Arial" w:cs="Arial"/>
          <w:color w:val="auto"/>
          <w:sz w:val="22"/>
          <w:szCs w:val="22"/>
        </w:rPr>
        <w:t xml:space="preserve">willing to be involved in </w:t>
      </w:r>
      <w:r w:rsidR="007A2443" w:rsidRPr="007A2443">
        <w:rPr>
          <w:rFonts w:ascii="Arial" w:hAnsi="Arial" w:cs="Arial"/>
          <w:color w:val="auto"/>
          <w:sz w:val="22"/>
          <w:szCs w:val="22"/>
        </w:rPr>
        <w:t xml:space="preserve">medical research through the </w:t>
      </w:r>
      <w:r w:rsidR="007A2443">
        <w:rPr>
          <w:rFonts w:ascii="Arial" w:hAnsi="Arial" w:cs="Arial"/>
          <w:color w:val="auto"/>
          <w:sz w:val="22"/>
          <w:szCs w:val="22"/>
        </w:rPr>
        <w:t xml:space="preserve">CCG or national strategies. </w:t>
      </w: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In addition, clinicians are expected to read journals and/or websites regularly to maintain current awareness of research findings and resulting changes in recommended best practice. </w:t>
      </w:r>
    </w:p>
    <w:p w:rsidR="007A2443" w:rsidRDefault="007A2443" w:rsidP="007A2443">
      <w:pPr>
        <w:pStyle w:val="Default"/>
        <w:rPr>
          <w:rFonts w:ascii="Arial" w:hAnsi="Arial" w:cs="Arial"/>
          <w:b/>
          <w:bCs/>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5. Openness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Processes which are open to public scrutiny, while respecting individual patient and practitioner confidentiality, are an essential part of quality assurance. </w:t>
      </w:r>
    </w:p>
    <w:p w:rsid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Practice uses a number of mechanisms to enable patients and other interested parties to be involved in identifying needs and making improvements. These include: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numPr>
          <w:ilvl w:val="0"/>
          <w:numId w:val="7"/>
        </w:numPr>
        <w:spacing w:after="72"/>
        <w:rPr>
          <w:rFonts w:ascii="Arial" w:hAnsi="Arial" w:cs="Arial"/>
          <w:color w:val="auto"/>
          <w:sz w:val="22"/>
          <w:szCs w:val="22"/>
        </w:rPr>
      </w:pPr>
      <w:r w:rsidRPr="007A2443">
        <w:rPr>
          <w:rFonts w:ascii="Arial" w:hAnsi="Arial" w:cs="Arial"/>
          <w:color w:val="auto"/>
          <w:sz w:val="22"/>
          <w:szCs w:val="22"/>
        </w:rPr>
        <w:t xml:space="preserve">Practice website – promotes regular and ad hoc services, along with information about the staff, the complaints procedure and a comment facility </w:t>
      </w:r>
    </w:p>
    <w:p w:rsidR="007A2443" w:rsidRPr="007A2443" w:rsidRDefault="007A2443" w:rsidP="007A2443">
      <w:pPr>
        <w:pStyle w:val="Default"/>
        <w:numPr>
          <w:ilvl w:val="0"/>
          <w:numId w:val="7"/>
        </w:numPr>
        <w:spacing w:after="72"/>
        <w:rPr>
          <w:rFonts w:ascii="Arial" w:hAnsi="Arial" w:cs="Arial"/>
          <w:color w:val="auto"/>
          <w:sz w:val="22"/>
          <w:szCs w:val="22"/>
        </w:rPr>
      </w:pPr>
      <w:r w:rsidRPr="007A2443">
        <w:rPr>
          <w:rFonts w:ascii="Arial" w:hAnsi="Arial" w:cs="Arial"/>
          <w:color w:val="auto"/>
          <w:sz w:val="22"/>
          <w:szCs w:val="22"/>
        </w:rPr>
        <w:t xml:space="preserve">Patient Reference Group – a group representative of the Practice’s demographic make-up, who are able to devise questions for an annual patient survey and who scrutinise the Practice’s response to the views expressed by patients </w:t>
      </w:r>
    </w:p>
    <w:p w:rsidR="007A2443" w:rsidRPr="007A2443" w:rsidRDefault="007A2443" w:rsidP="007A2443">
      <w:pPr>
        <w:pStyle w:val="Default"/>
        <w:numPr>
          <w:ilvl w:val="0"/>
          <w:numId w:val="7"/>
        </w:numPr>
        <w:spacing w:after="72"/>
        <w:rPr>
          <w:rFonts w:ascii="Arial" w:hAnsi="Arial" w:cs="Arial"/>
          <w:color w:val="auto"/>
          <w:sz w:val="22"/>
          <w:szCs w:val="22"/>
        </w:rPr>
      </w:pPr>
      <w:r w:rsidRPr="007A2443">
        <w:rPr>
          <w:rFonts w:ascii="Arial" w:hAnsi="Arial" w:cs="Arial"/>
          <w:color w:val="auto"/>
          <w:sz w:val="22"/>
          <w:szCs w:val="22"/>
        </w:rPr>
        <w:t xml:space="preserve">Complaints – all patient complaints are managed through the Practice Manager and are scanned regularly for learning points and for patterns. Complaints about clinical care are shared immediately with the clinician concerned and with the Senior Partner (or another partner if the complaint relates to the Senior Partner), and those that give rise to clinical learning points are shared more widely at a clinical meeting. </w:t>
      </w:r>
    </w:p>
    <w:p w:rsidR="007A2443" w:rsidRPr="007A2443" w:rsidRDefault="007A2443" w:rsidP="007A2443">
      <w:pPr>
        <w:pStyle w:val="Default"/>
        <w:numPr>
          <w:ilvl w:val="0"/>
          <w:numId w:val="7"/>
        </w:numPr>
        <w:rPr>
          <w:rFonts w:ascii="Arial" w:hAnsi="Arial" w:cs="Arial"/>
          <w:color w:val="auto"/>
          <w:sz w:val="22"/>
          <w:szCs w:val="22"/>
        </w:rPr>
      </w:pPr>
      <w:r w:rsidRPr="007A2443">
        <w:rPr>
          <w:rFonts w:ascii="Arial" w:hAnsi="Arial" w:cs="Arial"/>
          <w:color w:val="auto"/>
          <w:sz w:val="22"/>
          <w:szCs w:val="22"/>
        </w:rPr>
        <w:t xml:space="preserve">Suggestions – a suggestion box with forms to complete is available at all times in the waiting area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Practice aims to co-operate at all times in a spirit of openness with other healthcare providers, NHS and local authority organisations, and any organisation with regulatory or watchdog powers such as the Care Quality Commission and </w:t>
      </w:r>
      <w:proofErr w:type="spellStart"/>
      <w:r w:rsidRPr="007A2443">
        <w:rPr>
          <w:rFonts w:ascii="Arial" w:hAnsi="Arial" w:cs="Arial"/>
          <w:color w:val="auto"/>
          <w:sz w:val="22"/>
          <w:szCs w:val="22"/>
        </w:rPr>
        <w:t>HealthWatch</w:t>
      </w:r>
      <w:proofErr w:type="spellEnd"/>
      <w:r w:rsidRPr="007A2443">
        <w:rPr>
          <w:rFonts w:ascii="Arial" w:hAnsi="Arial" w:cs="Arial"/>
          <w:color w:val="auto"/>
          <w:sz w:val="22"/>
          <w:szCs w:val="22"/>
        </w:rPr>
        <w:t xml:space="preserve">. </w:t>
      </w:r>
    </w:p>
    <w:p w:rsidR="007A2443" w:rsidRDefault="007A2443" w:rsidP="007A2443">
      <w:pPr>
        <w:pStyle w:val="Default"/>
        <w:rPr>
          <w:rFonts w:ascii="Arial" w:hAnsi="Arial" w:cs="Arial"/>
          <w:b/>
          <w:bCs/>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6. Risk management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Risks - to patient, clinicians, other staff and the organisation as a whole - are managed through a range of policies and protocols, through risk assessment and through regular Significant Events meetings. </w:t>
      </w: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key policies relating to minimising risk for patients are: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Patient Dignity &amp; Equalities Policy </w:t>
      </w: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Confidentiality Policy </w:t>
      </w: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Consent Policy </w:t>
      </w: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Chaperone Policy </w:t>
      </w:r>
    </w:p>
    <w:p w:rsidR="007A2443" w:rsidRPr="007A2443" w:rsidRDefault="007A2443" w:rsidP="007A2443">
      <w:pPr>
        <w:pStyle w:val="Default"/>
        <w:numPr>
          <w:ilvl w:val="0"/>
          <w:numId w:val="8"/>
        </w:numPr>
        <w:rPr>
          <w:rFonts w:ascii="Arial" w:hAnsi="Arial" w:cs="Arial"/>
          <w:color w:val="auto"/>
          <w:sz w:val="22"/>
          <w:szCs w:val="22"/>
        </w:rPr>
      </w:pPr>
      <w:r w:rsidRPr="007A2443">
        <w:rPr>
          <w:rFonts w:ascii="Arial" w:hAnsi="Arial" w:cs="Arial"/>
          <w:color w:val="auto"/>
          <w:sz w:val="22"/>
          <w:szCs w:val="22"/>
        </w:rPr>
        <w:t xml:space="preserve">Infection Control Policy </w:t>
      </w:r>
    </w:p>
    <w:p w:rsidR="007A2443" w:rsidRPr="007A2443" w:rsidRDefault="007A2443" w:rsidP="007A2443">
      <w:pPr>
        <w:pStyle w:val="Default"/>
        <w:numPr>
          <w:ilvl w:val="0"/>
          <w:numId w:val="8"/>
        </w:numPr>
        <w:rPr>
          <w:rFonts w:ascii="Arial" w:hAnsi="Arial" w:cs="Arial"/>
          <w:color w:val="auto"/>
          <w:sz w:val="22"/>
          <w:szCs w:val="22"/>
        </w:rPr>
      </w:pPr>
      <w:r w:rsidRPr="007A2443">
        <w:rPr>
          <w:rFonts w:ascii="Arial" w:hAnsi="Arial" w:cs="Arial"/>
          <w:color w:val="auto"/>
          <w:sz w:val="22"/>
          <w:szCs w:val="22"/>
        </w:rPr>
        <w:t xml:space="preserve">Safeguarding Policies (adult and children)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All of these are available on the Practice website. </w:t>
      </w:r>
    </w:p>
    <w:p w:rsid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Risks are minimised through other aspects of clinical governance, especially through attention to education and training, clinical audit and clinical effectiveness. </w:t>
      </w:r>
    </w:p>
    <w:p w:rsid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Practice approach to learning from critical events, near misses and risk is set out in the Significant Events Policy. The Practice takes a “no blame” approach and encourages all staff to discuss any incident that has or could have posed a risk or actual harm. The learning from incidents is shared across the whole Practice, and any actions are reviewed until fully implemented. Clinical incidents are referred from the general Significant Events meeting to a clinical meeting, to enable a detailed discussion in a confidential environment. </w:t>
      </w:r>
    </w:p>
    <w:p w:rsidR="007A2443" w:rsidRDefault="007A2443" w:rsidP="007A2443">
      <w:pPr>
        <w:pStyle w:val="Default"/>
        <w:rPr>
          <w:rFonts w:ascii="Arial" w:hAnsi="Arial" w:cs="Arial"/>
          <w:b/>
          <w:bCs/>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7. Information management </w:t>
      </w:r>
    </w:p>
    <w:p w:rsidR="007A2443" w:rsidRPr="007A2443" w:rsidRDefault="007A2443" w:rsidP="007A2443">
      <w:pPr>
        <w:pStyle w:val="Default"/>
        <w:rPr>
          <w:rFonts w:ascii="Arial" w:hAnsi="Arial" w:cs="Arial"/>
          <w:color w:val="auto"/>
          <w:sz w:val="22"/>
          <w:szCs w:val="22"/>
        </w:rPr>
      </w:pP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High quality clinical care depends on high quality information management. This starts with the generation of good patient records, and it is the responsibility of every clinician to ensure that the details of their consultations are recorded in a way that: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is easily understood by colleagues, and by the patient if requested </w:t>
      </w: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reflects exactly what takes place in the consultation, including any discussion relating to risk, e.g. consent, offer of a chaperone </w:t>
      </w: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provides clear information about the agreed care plan </w:t>
      </w:r>
    </w:p>
    <w:p w:rsidR="007A2443" w:rsidRPr="007A2443" w:rsidRDefault="007A2443" w:rsidP="007A2443">
      <w:pPr>
        <w:pStyle w:val="Default"/>
        <w:numPr>
          <w:ilvl w:val="0"/>
          <w:numId w:val="8"/>
        </w:numPr>
        <w:spacing w:after="68"/>
        <w:rPr>
          <w:rFonts w:ascii="Arial" w:hAnsi="Arial" w:cs="Arial"/>
          <w:color w:val="auto"/>
          <w:sz w:val="22"/>
          <w:szCs w:val="22"/>
        </w:rPr>
      </w:pPr>
      <w:r w:rsidRPr="007A2443">
        <w:rPr>
          <w:rFonts w:ascii="Arial" w:hAnsi="Arial" w:cs="Arial"/>
          <w:color w:val="auto"/>
          <w:sz w:val="22"/>
          <w:szCs w:val="22"/>
        </w:rPr>
        <w:t xml:space="preserve">uses Read codes and templates as agreed within the Practice, to enable effective searching of patient data </w:t>
      </w:r>
    </w:p>
    <w:p w:rsidR="007A2443" w:rsidRPr="007A2443" w:rsidRDefault="007A2443" w:rsidP="007A2443">
      <w:pPr>
        <w:pStyle w:val="Default"/>
        <w:numPr>
          <w:ilvl w:val="0"/>
          <w:numId w:val="8"/>
        </w:numPr>
        <w:rPr>
          <w:rFonts w:ascii="Arial" w:hAnsi="Arial" w:cs="Arial"/>
          <w:color w:val="auto"/>
          <w:sz w:val="22"/>
          <w:szCs w:val="22"/>
        </w:rPr>
      </w:pPr>
      <w:r w:rsidRPr="007A2443">
        <w:rPr>
          <w:rFonts w:ascii="Arial" w:hAnsi="Arial" w:cs="Arial"/>
          <w:color w:val="auto"/>
          <w:sz w:val="22"/>
          <w:szCs w:val="22"/>
        </w:rPr>
        <w:t xml:space="preserve">will stand the test of time </w:t>
      </w:r>
    </w:p>
    <w:p w:rsidR="007A2443" w:rsidRPr="007A2443" w:rsidRDefault="007A2443"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lastRenderedPageBreak/>
        <w:t xml:space="preserve">The Practice will use patient data for purposes consistent with our Data Protection registration (see Data Protection Policy) and will maintain patient confidentiality at all times when using data for clinical governance purposes. Patient records will be searched to provide evidence for internal audits and case studies, and to ensure clinical effectiveness. </w:t>
      </w: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Practice will meet its statutory duty to provide anonymised patient data to Department of Health sources, and will also provide patient-identifiable data in accordance with the Health &amp; Social Care Act 2012 for those patients who have not explicitly withheld their consent. </w:t>
      </w:r>
    </w:p>
    <w:p w:rsidR="007A2443" w:rsidRDefault="007A2443" w:rsidP="007A2443">
      <w:pPr>
        <w:pStyle w:val="Default"/>
        <w:rPr>
          <w:rFonts w:ascii="Arial" w:hAnsi="Arial" w:cs="Arial"/>
          <w:b/>
          <w:bCs/>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8. Human Resources </w:t>
      </w:r>
    </w:p>
    <w:p w:rsidR="007A2443" w:rsidRPr="007A2443" w:rsidRDefault="007A2443" w:rsidP="007A2443">
      <w:pPr>
        <w:pStyle w:val="Default"/>
        <w:rPr>
          <w:rFonts w:ascii="Arial" w:hAnsi="Arial" w:cs="Arial"/>
          <w:color w:val="auto"/>
          <w:sz w:val="22"/>
          <w:szCs w:val="22"/>
        </w:rPr>
      </w:pPr>
    </w:p>
    <w:p w:rsidR="007A2443" w:rsidRDefault="007A2443" w:rsidP="005F69C1">
      <w:pPr>
        <w:pStyle w:val="Default"/>
        <w:rPr>
          <w:rFonts w:ascii="Arial" w:hAnsi="Arial" w:cs="Arial"/>
          <w:color w:val="auto"/>
          <w:sz w:val="22"/>
          <w:szCs w:val="22"/>
        </w:rPr>
      </w:pPr>
      <w:r w:rsidRPr="007A2443">
        <w:rPr>
          <w:rFonts w:ascii="Arial" w:hAnsi="Arial" w:cs="Arial"/>
          <w:color w:val="auto"/>
          <w:sz w:val="22"/>
          <w:szCs w:val="22"/>
        </w:rPr>
        <w:t>The Practice is committed to delivering medical care through a team of fully qualified and suitably experienced clinicians, supported by an adequate administrative resource</w:t>
      </w:r>
      <w:r>
        <w:rPr>
          <w:rFonts w:ascii="Arial" w:hAnsi="Arial" w:cs="Arial"/>
          <w:color w:val="auto"/>
          <w:sz w:val="22"/>
          <w:szCs w:val="22"/>
        </w:rPr>
        <w:t>.</w:t>
      </w:r>
      <w:r w:rsidR="005F69C1">
        <w:rPr>
          <w:rFonts w:ascii="Arial" w:hAnsi="Arial" w:cs="Arial"/>
          <w:color w:val="auto"/>
          <w:sz w:val="22"/>
          <w:szCs w:val="22"/>
        </w:rPr>
        <w:t xml:space="preserve"> In </w:t>
      </w:r>
      <w:r w:rsidRPr="007A2443">
        <w:rPr>
          <w:rFonts w:ascii="Arial" w:hAnsi="Arial" w:cs="Arial"/>
          <w:color w:val="auto"/>
          <w:sz w:val="22"/>
          <w:szCs w:val="22"/>
        </w:rPr>
        <w:t xml:space="preserve">order to achieve this, the Practice regularly reviews the skillset of its clinical team, offering development opportunities where appropriate, and ensuring that the full range of primary care skills is available at an appropriate level. This means that all clinical staff are encouraged to work within the higher range of their skillset rather than carrying out tasks that could be fulfilled by a less qualified clinician. </w:t>
      </w:r>
    </w:p>
    <w:p w:rsidR="005F69C1" w:rsidRDefault="005F69C1" w:rsidP="005F69C1">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When recruiting potential new GPs or nurses, the interview will always include questions designed to demonstrate an awareness of clinical governance principles. </w:t>
      </w:r>
    </w:p>
    <w:p w:rsidR="005F69C1" w:rsidRDefault="005F69C1" w:rsidP="007A2443">
      <w:pPr>
        <w:pStyle w:val="Default"/>
        <w:rPr>
          <w:rFonts w:ascii="Arial" w:hAnsi="Arial" w:cs="Arial"/>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The Practice operates within a full suite of human resources policies and protocols to ensure that every member of the team, whether clinical or not, is working with the best interests of the patients in mind at all times. </w:t>
      </w:r>
    </w:p>
    <w:p w:rsidR="005F69C1" w:rsidRDefault="005F69C1" w:rsidP="007A2443">
      <w:pPr>
        <w:pStyle w:val="Default"/>
        <w:rPr>
          <w:rFonts w:ascii="Arial" w:hAnsi="Arial" w:cs="Arial"/>
          <w:b/>
          <w:bCs/>
          <w:color w:val="auto"/>
          <w:sz w:val="22"/>
          <w:szCs w:val="22"/>
        </w:rPr>
      </w:pPr>
    </w:p>
    <w:p w:rsidR="007A2443" w:rsidRPr="007A2443" w:rsidRDefault="007A2443" w:rsidP="007A2443">
      <w:pPr>
        <w:pStyle w:val="Default"/>
        <w:rPr>
          <w:rFonts w:ascii="Arial" w:hAnsi="Arial" w:cs="Arial"/>
          <w:color w:val="auto"/>
          <w:sz w:val="22"/>
          <w:szCs w:val="22"/>
        </w:rPr>
      </w:pPr>
      <w:r w:rsidRPr="007A2443">
        <w:rPr>
          <w:rFonts w:ascii="Arial" w:hAnsi="Arial" w:cs="Arial"/>
          <w:b/>
          <w:bCs/>
          <w:color w:val="auto"/>
          <w:sz w:val="22"/>
          <w:szCs w:val="22"/>
        </w:rPr>
        <w:t xml:space="preserve">Implementation </w:t>
      </w:r>
    </w:p>
    <w:p w:rsid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The Clinical Governance lead for th</w:t>
      </w:r>
      <w:r w:rsidR="005F69C1">
        <w:rPr>
          <w:rFonts w:ascii="Arial" w:hAnsi="Arial" w:cs="Arial"/>
          <w:color w:val="auto"/>
          <w:sz w:val="22"/>
          <w:szCs w:val="22"/>
        </w:rPr>
        <w:t>e Practice is Dr Larh. It is his</w:t>
      </w:r>
      <w:r w:rsidRPr="007A2443">
        <w:rPr>
          <w:rFonts w:ascii="Arial" w:hAnsi="Arial" w:cs="Arial"/>
          <w:color w:val="auto"/>
          <w:sz w:val="22"/>
          <w:szCs w:val="22"/>
        </w:rPr>
        <w:t xml:space="preserve"> responsibility to ensure that the principles in this Policy are implement</w:t>
      </w:r>
      <w:r w:rsidR="005F69C1">
        <w:rPr>
          <w:rFonts w:ascii="Arial" w:hAnsi="Arial" w:cs="Arial"/>
          <w:color w:val="auto"/>
          <w:sz w:val="22"/>
          <w:szCs w:val="22"/>
        </w:rPr>
        <w:t xml:space="preserve">ed effectively. Specifically, </w:t>
      </w:r>
      <w:r w:rsidRPr="007A2443">
        <w:rPr>
          <w:rFonts w:ascii="Arial" w:hAnsi="Arial" w:cs="Arial"/>
          <w:color w:val="auto"/>
          <w:sz w:val="22"/>
          <w:szCs w:val="22"/>
        </w:rPr>
        <w:t xml:space="preserve">he will: </w:t>
      </w:r>
    </w:p>
    <w:p w:rsidR="005F69C1" w:rsidRPr="007A2443" w:rsidRDefault="005F69C1" w:rsidP="007A2443">
      <w:pPr>
        <w:pStyle w:val="Default"/>
        <w:rPr>
          <w:rFonts w:ascii="Arial" w:hAnsi="Arial" w:cs="Arial"/>
          <w:color w:val="auto"/>
          <w:sz w:val="22"/>
          <w:szCs w:val="22"/>
        </w:rPr>
      </w:pPr>
    </w:p>
    <w:p w:rsidR="007A2443" w:rsidRPr="007A2443" w:rsidRDefault="007A2443" w:rsidP="007A2443">
      <w:pPr>
        <w:pStyle w:val="Default"/>
        <w:spacing w:after="68"/>
        <w:rPr>
          <w:rFonts w:ascii="Arial" w:hAnsi="Arial" w:cs="Arial"/>
          <w:color w:val="auto"/>
          <w:sz w:val="22"/>
          <w:szCs w:val="22"/>
        </w:rPr>
      </w:pPr>
      <w:r w:rsidRPr="007A2443">
        <w:rPr>
          <w:rFonts w:ascii="Arial" w:hAnsi="Arial" w:cs="Arial"/>
          <w:color w:val="auto"/>
          <w:sz w:val="22"/>
          <w:szCs w:val="22"/>
        </w:rPr>
        <w:t xml:space="preserve"> provide clinical governance leadership and advice </w:t>
      </w:r>
    </w:p>
    <w:p w:rsidR="007A2443" w:rsidRPr="007A2443" w:rsidRDefault="007A2443" w:rsidP="007A2443">
      <w:pPr>
        <w:pStyle w:val="Default"/>
        <w:spacing w:after="68"/>
        <w:rPr>
          <w:rFonts w:ascii="Arial" w:hAnsi="Arial" w:cs="Arial"/>
          <w:color w:val="auto"/>
          <w:sz w:val="22"/>
          <w:szCs w:val="22"/>
        </w:rPr>
      </w:pPr>
      <w:r w:rsidRPr="007A2443">
        <w:rPr>
          <w:rFonts w:ascii="Arial" w:hAnsi="Arial" w:cs="Arial"/>
          <w:color w:val="auto"/>
          <w:sz w:val="22"/>
          <w:szCs w:val="22"/>
        </w:rPr>
        <w:t xml:space="preserve"> promote high quality care within the Practice </w:t>
      </w:r>
    </w:p>
    <w:p w:rsidR="007A2443" w:rsidRPr="007A2443" w:rsidRDefault="007A2443" w:rsidP="007A2443">
      <w:pPr>
        <w:pStyle w:val="Default"/>
        <w:spacing w:after="68"/>
        <w:rPr>
          <w:rFonts w:ascii="Arial" w:hAnsi="Arial" w:cs="Arial"/>
          <w:color w:val="auto"/>
          <w:sz w:val="22"/>
          <w:szCs w:val="22"/>
        </w:rPr>
      </w:pPr>
      <w:r w:rsidRPr="007A2443">
        <w:rPr>
          <w:rFonts w:ascii="Arial" w:hAnsi="Arial" w:cs="Arial"/>
          <w:color w:val="auto"/>
          <w:sz w:val="22"/>
          <w:szCs w:val="22"/>
        </w:rPr>
        <w:t xml:space="preserve"> keep an overview of the level of current awareness maintained by individual clinicians </w:t>
      </w:r>
    </w:p>
    <w:p w:rsidR="007A2443" w:rsidRPr="007A2443" w:rsidRDefault="007A2443" w:rsidP="007A2443">
      <w:pPr>
        <w:pStyle w:val="Default"/>
        <w:spacing w:after="68"/>
        <w:rPr>
          <w:rFonts w:ascii="Arial" w:hAnsi="Arial" w:cs="Arial"/>
          <w:color w:val="auto"/>
          <w:sz w:val="22"/>
          <w:szCs w:val="22"/>
        </w:rPr>
      </w:pPr>
      <w:r w:rsidRPr="007A2443">
        <w:rPr>
          <w:rFonts w:ascii="Arial" w:hAnsi="Arial" w:cs="Arial"/>
          <w:color w:val="auto"/>
          <w:sz w:val="22"/>
          <w:szCs w:val="22"/>
        </w:rPr>
        <w:t xml:space="preserve"> act as the expert in dealing with clinical complaints and significant events </w:t>
      </w:r>
    </w:p>
    <w:p w:rsidR="007A2443" w:rsidRPr="007A2443" w:rsidRDefault="007A2443" w:rsidP="007A2443">
      <w:pPr>
        <w:pStyle w:val="Default"/>
        <w:rPr>
          <w:rFonts w:ascii="Arial" w:hAnsi="Arial" w:cs="Arial"/>
          <w:color w:val="auto"/>
          <w:sz w:val="22"/>
          <w:szCs w:val="22"/>
        </w:rPr>
      </w:pPr>
      <w:r w:rsidRPr="007A2443">
        <w:rPr>
          <w:rFonts w:ascii="Arial" w:hAnsi="Arial" w:cs="Arial"/>
          <w:color w:val="auto"/>
          <w:sz w:val="22"/>
          <w:szCs w:val="22"/>
        </w:rPr>
        <w:t xml:space="preserve"> initiate and review local audits as appropriate </w:t>
      </w:r>
    </w:p>
    <w:p w:rsidR="002D5DB7" w:rsidRPr="007A2443" w:rsidRDefault="002D5DB7">
      <w:pPr>
        <w:rPr>
          <w:rFonts w:ascii="Arial" w:hAnsi="Arial" w:cs="Arial"/>
        </w:rPr>
      </w:pPr>
    </w:p>
    <w:sectPr w:rsidR="002D5DB7" w:rsidRPr="007A2443" w:rsidSect="00F23F89">
      <w:headerReference w:type="default" r:id="rId8"/>
      <w:footerReference w:type="default" r:id="rId9"/>
      <w:pgSz w:w="11906" w:h="17338"/>
      <w:pgMar w:top="1159" w:right="648" w:bottom="658" w:left="861" w:header="28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4A" w:rsidRDefault="006E1E4A" w:rsidP="007A2443">
      <w:pPr>
        <w:spacing w:after="0" w:line="240" w:lineRule="auto"/>
      </w:pPr>
      <w:r>
        <w:separator/>
      </w:r>
    </w:p>
  </w:endnote>
  <w:endnote w:type="continuationSeparator" w:id="0">
    <w:p w:rsidR="006E1E4A" w:rsidRDefault="006E1E4A" w:rsidP="007A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49" w:rsidRDefault="00E824D3" w:rsidP="00784C49">
    <w:pPr>
      <w:pStyle w:val="Title"/>
      <w:jc w:val="left"/>
      <w:rPr>
        <w:sz w:val="20"/>
        <w:szCs w:val="22"/>
      </w:rPr>
    </w:pPr>
    <w:r>
      <w:rPr>
        <w:sz w:val="20"/>
        <w:szCs w:val="22"/>
      </w:rPr>
      <w:t>Date Published: May 2018</w:t>
    </w:r>
  </w:p>
  <w:p w:rsidR="00E824D3" w:rsidRDefault="00E824D3" w:rsidP="00784C49">
    <w:pPr>
      <w:pStyle w:val="Title"/>
      <w:jc w:val="left"/>
      <w:rPr>
        <w:sz w:val="20"/>
        <w:szCs w:val="22"/>
      </w:rPr>
    </w:pPr>
  </w:p>
  <w:p w:rsidR="00E824D3" w:rsidRDefault="00E824D3" w:rsidP="00784C49">
    <w:pPr>
      <w:pStyle w:val="Title"/>
      <w:jc w:val="left"/>
      <w:rPr>
        <w:sz w:val="22"/>
        <w:szCs w:val="22"/>
      </w:rPr>
    </w:pPr>
    <w:r>
      <w:rPr>
        <w:sz w:val="20"/>
        <w:szCs w:val="22"/>
      </w:rPr>
      <w:t>Date of Review: May 2021</w:t>
    </w:r>
  </w:p>
  <w:p w:rsidR="005F69C1" w:rsidRDefault="005F6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4A" w:rsidRDefault="006E1E4A" w:rsidP="007A2443">
      <w:pPr>
        <w:spacing w:after="0" w:line="240" w:lineRule="auto"/>
      </w:pPr>
      <w:r>
        <w:separator/>
      </w:r>
    </w:p>
  </w:footnote>
  <w:footnote w:type="continuationSeparator" w:id="0">
    <w:p w:rsidR="006E1E4A" w:rsidRDefault="006E1E4A" w:rsidP="007A2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43" w:rsidRDefault="00F23F89">
    <w:pPr>
      <w:pStyle w:val="Header"/>
    </w:pPr>
    <w:r>
      <w:rPr>
        <w:noProof/>
        <w:lang w:eastAsia="en-GB"/>
      </w:rPr>
      <w:drawing>
        <wp:inline distT="0" distB="0" distL="0" distR="0">
          <wp:extent cx="1573530" cy="529590"/>
          <wp:effectExtent l="0" t="0" r="7620" b="3810"/>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529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56F"/>
    <w:multiLevelType w:val="hybridMultilevel"/>
    <w:tmpl w:val="507404C0"/>
    <w:lvl w:ilvl="0" w:tplc="DE4C857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555AF"/>
    <w:multiLevelType w:val="hybridMultilevel"/>
    <w:tmpl w:val="E43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E09BE"/>
    <w:multiLevelType w:val="hybridMultilevel"/>
    <w:tmpl w:val="F3C6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3284C"/>
    <w:multiLevelType w:val="hybridMultilevel"/>
    <w:tmpl w:val="4928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D73C7"/>
    <w:multiLevelType w:val="hybridMultilevel"/>
    <w:tmpl w:val="CAD0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140D2"/>
    <w:multiLevelType w:val="hybridMultilevel"/>
    <w:tmpl w:val="DFC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62AF9"/>
    <w:multiLevelType w:val="hybridMultilevel"/>
    <w:tmpl w:val="9B8E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054007"/>
    <w:multiLevelType w:val="hybridMultilevel"/>
    <w:tmpl w:val="3D20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14735"/>
    <w:multiLevelType w:val="hybridMultilevel"/>
    <w:tmpl w:val="F82E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43"/>
    <w:rsid w:val="0000156A"/>
    <w:rsid w:val="00007C97"/>
    <w:rsid w:val="00025B25"/>
    <w:rsid w:val="000477DF"/>
    <w:rsid w:val="000630C0"/>
    <w:rsid w:val="00094FBB"/>
    <w:rsid w:val="000A2142"/>
    <w:rsid w:val="000C4E80"/>
    <w:rsid w:val="001557F0"/>
    <w:rsid w:val="00192BD2"/>
    <w:rsid w:val="001A1F53"/>
    <w:rsid w:val="001A33C2"/>
    <w:rsid w:val="001B5F95"/>
    <w:rsid w:val="001D3C1E"/>
    <w:rsid w:val="00220160"/>
    <w:rsid w:val="00220665"/>
    <w:rsid w:val="00261DC6"/>
    <w:rsid w:val="002978AE"/>
    <w:rsid w:val="002B6816"/>
    <w:rsid w:val="002C10CE"/>
    <w:rsid w:val="002D5DB7"/>
    <w:rsid w:val="00317AD7"/>
    <w:rsid w:val="00361344"/>
    <w:rsid w:val="00380607"/>
    <w:rsid w:val="00380D7C"/>
    <w:rsid w:val="00395D16"/>
    <w:rsid w:val="003B23B5"/>
    <w:rsid w:val="003C63DF"/>
    <w:rsid w:val="00463DB6"/>
    <w:rsid w:val="00477076"/>
    <w:rsid w:val="004D064F"/>
    <w:rsid w:val="00541326"/>
    <w:rsid w:val="00570E60"/>
    <w:rsid w:val="00577FAD"/>
    <w:rsid w:val="00582C69"/>
    <w:rsid w:val="0058787B"/>
    <w:rsid w:val="005D4175"/>
    <w:rsid w:val="005F69C1"/>
    <w:rsid w:val="005F6F8D"/>
    <w:rsid w:val="00606CCE"/>
    <w:rsid w:val="006255E6"/>
    <w:rsid w:val="00627DAE"/>
    <w:rsid w:val="006D47B6"/>
    <w:rsid w:val="006E0FF5"/>
    <w:rsid w:val="006E1E4A"/>
    <w:rsid w:val="00782C5C"/>
    <w:rsid w:val="00784C49"/>
    <w:rsid w:val="007A2443"/>
    <w:rsid w:val="008102AF"/>
    <w:rsid w:val="00853B95"/>
    <w:rsid w:val="00865A6E"/>
    <w:rsid w:val="008756E4"/>
    <w:rsid w:val="008B4D6F"/>
    <w:rsid w:val="008B5688"/>
    <w:rsid w:val="008F1623"/>
    <w:rsid w:val="008F1D4D"/>
    <w:rsid w:val="00966FC5"/>
    <w:rsid w:val="009A18EC"/>
    <w:rsid w:val="009D6970"/>
    <w:rsid w:val="009E7CAF"/>
    <w:rsid w:val="00A30C5B"/>
    <w:rsid w:val="00AA2182"/>
    <w:rsid w:val="00AC2688"/>
    <w:rsid w:val="00AD41A2"/>
    <w:rsid w:val="00B2513E"/>
    <w:rsid w:val="00B26A15"/>
    <w:rsid w:val="00BA6CE7"/>
    <w:rsid w:val="00BF20B3"/>
    <w:rsid w:val="00C121F5"/>
    <w:rsid w:val="00C221F8"/>
    <w:rsid w:val="00C37F62"/>
    <w:rsid w:val="00C83753"/>
    <w:rsid w:val="00CC1347"/>
    <w:rsid w:val="00CC58E4"/>
    <w:rsid w:val="00D2488B"/>
    <w:rsid w:val="00D25DDF"/>
    <w:rsid w:val="00D3023A"/>
    <w:rsid w:val="00DC4530"/>
    <w:rsid w:val="00DF663B"/>
    <w:rsid w:val="00E7249F"/>
    <w:rsid w:val="00E824D3"/>
    <w:rsid w:val="00EC60B1"/>
    <w:rsid w:val="00EF1A5F"/>
    <w:rsid w:val="00EF3961"/>
    <w:rsid w:val="00F01EE4"/>
    <w:rsid w:val="00F23F89"/>
    <w:rsid w:val="00F261FE"/>
    <w:rsid w:val="00F73644"/>
    <w:rsid w:val="00FA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44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A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443"/>
  </w:style>
  <w:style w:type="paragraph" w:styleId="Footer">
    <w:name w:val="footer"/>
    <w:basedOn w:val="Normal"/>
    <w:link w:val="FooterChar"/>
    <w:uiPriority w:val="99"/>
    <w:unhideWhenUsed/>
    <w:rsid w:val="007A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443"/>
  </w:style>
  <w:style w:type="paragraph" w:styleId="Title">
    <w:name w:val="Title"/>
    <w:basedOn w:val="Normal"/>
    <w:link w:val="TitleChar"/>
    <w:qFormat/>
    <w:rsid w:val="005F69C1"/>
    <w:pPr>
      <w:spacing w:after="0" w:line="240" w:lineRule="auto"/>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5F69C1"/>
    <w:rPr>
      <w:rFonts w:ascii="Arial" w:eastAsia="Times New Roman" w:hAnsi="Arial" w:cs="Times New Roman"/>
      <w:b/>
      <w:bCs/>
      <w:iCs/>
      <w:sz w:val="28"/>
      <w:szCs w:val="20"/>
    </w:rPr>
  </w:style>
  <w:style w:type="paragraph" w:styleId="BalloonText">
    <w:name w:val="Balloon Text"/>
    <w:basedOn w:val="Normal"/>
    <w:link w:val="BalloonTextChar"/>
    <w:uiPriority w:val="99"/>
    <w:semiHidden/>
    <w:unhideWhenUsed/>
    <w:rsid w:val="00E8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44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A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443"/>
  </w:style>
  <w:style w:type="paragraph" w:styleId="Footer">
    <w:name w:val="footer"/>
    <w:basedOn w:val="Normal"/>
    <w:link w:val="FooterChar"/>
    <w:uiPriority w:val="99"/>
    <w:unhideWhenUsed/>
    <w:rsid w:val="007A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443"/>
  </w:style>
  <w:style w:type="paragraph" w:styleId="Title">
    <w:name w:val="Title"/>
    <w:basedOn w:val="Normal"/>
    <w:link w:val="TitleChar"/>
    <w:qFormat/>
    <w:rsid w:val="005F69C1"/>
    <w:pPr>
      <w:spacing w:after="0" w:line="240" w:lineRule="auto"/>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5F69C1"/>
    <w:rPr>
      <w:rFonts w:ascii="Arial" w:eastAsia="Times New Roman" w:hAnsi="Arial" w:cs="Times New Roman"/>
      <w:b/>
      <w:bCs/>
      <w:iCs/>
      <w:sz w:val="28"/>
      <w:szCs w:val="20"/>
    </w:rPr>
  </w:style>
  <w:style w:type="paragraph" w:styleId="BalloonText">
    <w:name w:val="Balloon Text"/>
    <w:basedOn w:val="Normal"/>
    <w:link w:val="BalloonTextChar"/>
    <w:uiPriority w:val="99"/>
    <w:semiHidden/>
    <w:unhideWhenUsed/>
    <w:rsid w:val="00E8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4656">
      <w:bodyDiv w:val="1"/>
      <w:marLeft w:val="0"/>
      <w:marRight w:val="0"/>
      <w:marTop w:val="0"/>
      <w:marBottom w:val="0"/>
      <w:divBdr>
        <w:top w:val="none" w:sz="0" w:space="0" w:color="auto"/>
        <w:left w:val="none" w:sz="0" w:space="0" w:color="auto"/>
        <w:bottom w:val="none" w:sz="0" w:space="0" w:color="auto"/>
        <w:right w:val="none" w:sz="0" w:space="0" w:color="auto"/>
      </w:divBdr>
    </w:div>
    <w:div w:id="20458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Lakhvinder Larh</dc:creator>
  <cp:lastModifiedBy>Rose Ward</cp:lastModifiedBy>
  <cp:revision>2</cp:revision>
  <dcterms:created xsi:type="dcterms:W3CDTF">2018-05-25T09:29:00Z</dcterms:created>
  <dcterms:modified xsi:type="dcterms:W3CDTF">2018-05-25T09:29:00Z</dcterms:modified>
</cp:coreProperties>
</file>